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5908" w14:textId="69422A4E" w:rsidR="005D4DDD" w:rsidRPr="001A069D" w:rsidRDefault="00B61C08">
      <w:pPr>
        <w:pStyle w:val="Titolo"/>
        <w:rPr>
          <w:lang w:val="it-IT"/>
        </w:rPr>
      </w:pPr>
      <w:r>
        <w:rPr>
          <w:noProof/>
          <w:lang w:val="it-IT"/>
        </w:rPr>
        <mc:AlternateContent>
          <mc:Choice Requires="wps">
            <w:drawing>
              <wp:anchor distT="0" distB="0" distL="0" distR="0" simplePos="0" relativeHeight="251657728" behindDoc="1" locked="0" layoutInCell="1" allowOverlap="1" wp14:anchorId="01B17BB2" wp14:editId="21698C90">
                <wp:simplePos x="0" y="0"/>
                <wp:positionH relativeFrom="page">
                  <wp:posOffset>762000</wp:posOffset>
                </wp:positionH>
                <wp:positionV relativeFrom="paragraph">
                  <wp:posOffset>394970</wp:posOffset>
                </wp:positionV>
                <wp:extent cx="6057900" cy="19050"/>
                <wp:effectExtent l="0" t="0" r="0" b="0"/>
                <wp:wrapTopAndBottom/>
                <wp:docPr id="19716974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9050"/>
                        </a:xfrm>
                        <a:prstGeom prst="rect">
                          <a:avLst/>
                        </a:prstGeom>
                        <a:solidFill>
                          <a:srgbClr val="8E8E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03DCB" id="Rectangle 2" o:spid="_x0000_s1026" style="position:absolute;margin-left:60pt;margin-top:31.1pt;width:477pt;height: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Ro6AEAALQDAAAOAAAAZHJzL2Uyb0RvYy54bWysU9tu2zAMfR+wfxD0vtgOkrYx4hRFug4D&#10;ugvQ9QNkWbaFyaJGKXGyrx8lp2mwvRWDAUEUxaNzyOP17WEwbK/Qa7AVL2Y5Z8pKaLTtKv784+HD&#10;DWc+CNsIA1ZV/Kg8v928f7ceXanm0INpFDICsb4cXcX7EFyZZV72ahB+Bk5ZSraAgwgUYpc1KEZC&#10;H0w2z/OrbARsHIJU3tPp/ZTkm4TftkqGb23rVWCm4sQtpBXTWsc126xF2aFwvZYnGuINLAahLT16&#10;hroXQbAd6n+gBi0RPLRhJmHIoG21VEkDqSnyv9Q89cKppIWa4925Tf7/wcqv+yf3HSN17x5B/vTM&#10;wrYXtlN3iDD2SjT0XBEblY3Ol+eCGHgqZfX4BRoardgFSD04tDhEQFLHDqnVx3Or1SEwSYdX+fJ6&#10;ldNEJOWKVb5Mo8hE+VLs0IdPCgYWNxVHmmQCF/tHHyIZUb5cSeTB6OZBG5MC7OqtQbYXNPWbj/FL&#10;/Enj5TVj42ULsWxCjCdJZRQWPeTLGpojiUSYrENWp00P+JuzkWxTcf9rJ1BxZj5batSqWCyiz1Kw&#10;WF7PKcDLTH2ZEVYSVMUDZ9N2GyZv7hzqrqeXiiTawh01t9VJ+CurE1myRurHycbRe5dxuvX6s23+&#10;AAAA//8DAFBLAwQUAAYACAAAACEAWqM9itwAAAAKAQAADwAAAGRycy9kb3ducmV2LnhtbEyPwU7D&#10;MBBE70j8g7VI3KjdACVK41SoUuESCbXwAU68JFHjdRQ7Tfh7tic4zuzT7Ey+W1wvLjiGzpOG9UqB&#10;QKq97ajR8PV5eEhBhGjImt4TavjBALvi9iY3mfUzHfFyio3gEAqZ0dDGOGRShrpFZ8LKD0h8+/aj&#10;M5Hl2Eg7mpnDXS8TpTbSmY74Q2sG3LdYn0+T0xDV+eMxxbKcp4Pbl9GV1dt7qvX93fK6BRFxiX8w&#10;XOtzdSi4U+UnskH0rDmeUQ2bJAFxBdTLEzsVO88JyCKX/ycUvwAAAP//AwBQSwECLQAUAAYACAAA&#10;ACEAtoM4kv4AAADhAQAAEwAAAAAAAAAAAAAAAAAAAAAAW0NvbnRlbnRfVHlwZXNdLnhtbFBLAQIt&#10;ABQABgAIAAAAIQA4/SH/1gAAAJQBAAALAAAAAAAAAAAAAAAAAC8BAABfcmVscy8ucmVsc1BLAQIt&#10;ABQABgAIAAAAIQDFieRo6AEAALQDAAAOAAAAAAAAAAAAAAAAAC4CAABkcnMvZTJvRG9jLnhtbFBL&#10;AQItABQABgAIAAAAIQBaoz2K3AAAAAoBAAAPAAAAAAAAAAAAAAAAAEIEAABkcnMvZG93bnJldi54&#10;bWxQSwUGAAAAAAQABADzAAAASwUAAAAA&#10;" fillcolor="#8e8e8e" stroked="f">
                <w10:wrap type="topAndBottom" anchorx="page"/>
              </v:rect>
            </w:pict>
          </mc:Fallback>
        </mc:AlternateContent>
      </w:r>
      <w:r w:rsidR="00000000" w:rsidRPr="001A069D">
        <w:rPr>
          <w:color w:val="212121"/>
          <w:lang w:val="it-IT"/>
        </w:rPr>
        <w:t>Novità sul fondo dello straordinario</w:t>
      </w:r>
    </w:p>
    <w:p w14:paraId="04BB8BA2" w14:textId="77777777" w:rsidR="005D4DDD" w:rsidRPr="001A069D" w:rsidRDefault="00000000">
      <w:pPr>
        <w:spacing w:before="46"/>
        <w:ind w:left="119"/>
        <w:rPr>
          <w:sz w:val="18"/>
        </w:rPr>
      </w:pPr>
      <w:r w:rsidRPr="001A069D">
        <w:rPr>
          <w:noProof/>
          <w:position w:val="-5"/>
        </w:rPr>
        <w:drawing>
          <wp:inline distT="0" distB="0" distL="0" distR="0" wp14:anchorId="10E312E4" wp14:editId="72586349">
            <wp:extent cx="152399" cy="15239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2399" cy="152399"/>
                    </a:xfrm>
                    <a:prstGeom prst="rect">
                      <a:avLst/>
                    </a:prstGeom>
                  </pic:spPr>
                </pic:pic>
              </a:graphicData>
            </a:graphic>
          </wp:inline>
        </w:drawing>
      </w:r>
      <w:r w:rsidRPr="001A069D">
        <w:rPr>
          <w:rFonts w:ascii="Times New Roman"/>
          <w:spacing w:val="4"/>
          <w:sz w:val="20"/>
        </w:rPr>
        <w:t xml:space="preserve"> </w:t>
      </w:r>
      <w:hyperlink r:id="rId7">
        <w:r w:rsidR="005D4DDD" w:rsidRPr="001A069D">
          <w:rPr>
            <w:b/>
            <w:color w:val="8E8E8E"/>
            <w:sz w:val="18"/>
          </w:rPr>
          <w:t>www.gianlucabertagna.it/</w:t>
        </w:r>
        <w:r w:rsidR="005D4DDD" w:rsidRPr="001A069D">
          <w:rPr>
            <w:color w:val="8E8E8E"/>
            <w:sz w:val="18"/>
          </w:rPr>
          <w:t>2025/11/23/novita-sul-fondo-dello-straordinario/</w:t>
        </w:r>
      </w:hyperlink>
    </w:p>
    <w:p w14:paraId="29E885EB" w14:textId="77777777" w:rsidR="005D4DDD" w:rsidRPr="001A069D" w:rsidRDefault="00000000">
      <w:pPr>
        <w:tabs>
          <w:tab w:val="left" w:pos="8121"/>
        </w:tabs>
        <w:spacing w:before="146"/>
        <w:ind w:left="126"/>
        <w:rPr>
          <w:sz w:val="18"/>
        </w:rPr>
      </w:pPr>
      <w:r w:rsidRPr="001A069D">
        <w:rPr>
          <w:color w:val="212121"/>
          <w:sz w:val="18"/>
        </w:rPr>
        <w:t>da Gianluca Bertagna</w:t>
      </w:r>
      <w:r w:rsidRPr="001A069D">
        <w:rPr>
          <w:color w:val="212121"/>
          <w:sz w:val="18"/>
        </w:rPr>
        <w:tab/>
        <w:t>23 Novembre 2025</w:t>
      </w:r>
    </w:p>
    <w:p w14:paraId="58664776" w14:textId="342B3AEE" w:rsidR="005D4DDD" w:rsidRPr="001A069D" w:rsidRDefault="005D4DDD">
      <w:pPr>
        <w:pStyle w:val="Corpotesto"/>
        <w:spacing w:before="3"/>
        <w:rPr>
          <w:sz w:val="22"/>
          <w:lang w:val="it-IT"/>
        </w:rPr>
      </w:pPr>
    </w:p>
    <w:p w14:paraId="66D05175" w14:textId="77777777" w:rsidR="005D4DDD" w:rsidRPr="001A069D" w:rsidRDefault="005D4DDD">
      <w:pPr>
        <w:pStyle w:val="Corpotesto"/>
        <w:rPr>
          <w:sz w:val="20"/>
          <w:lang w:val="it-IT"/>
        </w:rPr>
      </w:pPr>
    </w:p>
    <w:p w14:paraId="60D1DC4E" w14:textId="77777777" w:rsidR="005D4DDD" w:rsidRPr="001A069D" w:rsidRDefault="00000000">
      <w:pPr>
        <w:pStyle w:val="Corpotesto"/>
        <w:spacing w:before="133"/>
        <w:ind w:left="114"/>
        <w:jc w:val="both"/>
        <w:rPr>
          <w:lang w:val="it-IT"/>
        </w:rPr>
      </w:pPr>
      <w:r w:rsidRPr="001A069D">
        <w:rPr>
          <w:color w:val="212121"/>
          <w:lang w:val="it-IT"/>
        </w:rPr>
        <w:t>La Corte dei Conti, Sezione regionale di controllo per la Lombardia, con la deliberazione</w:t>
      </w:r>
    </w:p>
    <w:p w14:paraId="6DFD7E44" w14:textId="77777777" w:rsidR="005D4DDD" w:rsidRPr="001A069D" w:rsidRDefault="00000000">
      <w:pPr>
        <w:pStyle w:val="Corpotesto"/>
        <w:spacing w:before="54" w:line="292" w:lineRule="auto"/>
        <w:ind w:left="114" w:right="136"/>
        <w:jc w:val="both"/>
        <w:rPr>
          <w:lang w:val="it-IT"/>
        </w:rPr>
      </w:pPr>
      <w:r w:rsidRPr="001A069D">
        <w:rPr>
          <w:color w:val="212121"/>
          <w:lang w:val="it-IT"/>
        </w:rPr>
        <w:t>n. 368/2025/PAR del 12 novembre 2025, è tornata sul tema della ricostituzione del fondo per la remunerazione dello straordinario, affrontando il caso di un comune che, nel 2015, aveva azzerato tale fondo senza riversare le relative risorse nel Fondo risorse decentrate.</w:t>
      </w:r>
    </w:p>
    <w:p w14:paraId="30E1E00E" w14:textId="77777777" w:rsidR="005D4DDD" w:rsidRPr="001A069D" w:rsidRDefault="005D4DDD">
      <w:pPr>
        <w:pStyle w:val="Corpotesto"/>
        <w:spacing w:before="5"/>
        <w:rPr>
          <w:sz w:val="20"/>
          <w:lang w:val="it-IT"/>
        </w:rPr>
      </w:pPr>
    </w:p>
    <w:p w14:paraId="645D3B8C" w14:textId="77777777" w:rsidR="005D4DDD" w:rsidRPr="001A069D" w:rsidRDefault="00000000">
      <w:pPr>
        <w:pStyle w:val="Corpotesto"/>
        <w:spacing w:line="295" w:lineRule="auto"/>
        <w:ind w:left="114" w:right="134"/>
        <w:rPr>
          <w:lang w:val="it-IT"/>
        </w:rPr>
      </w:pPr>
      <w:r w:rsidRPr="001A069D">
        <w:rPr>
          <w:color w:val="212121"/>
          <w:lang w:val="it-IT"/>
        </w:rPr>
        <w:t>I magistrati contabili hanno confermato l’orientamento già espresso dall’ARAN (parere RAL 1816), secondo cui il fondo dello straordinario può essere ricostituito “tenendo conto delle previsioni contenute all’art. 14 del CCNL 1.4.1999, nel rispetto dei vincoli di contenimento della finanza pubblica”.</w:t>
      </w:r>
    </w:p>
    <w:p w14:paraId="67C2481E" w14:textId="77777777" w:rsidR="005D4DDD" w:rsidRPr="001A069D" w:rsidRDefault="00000000">
      <w:pPr>
        <w:spacing w:line="268" w:lineRule="exact"/>
        <w:ind w:left="114"/>
        <w:rPr>
          <w:b/>
          <w:sz w:val="24"/>
        </w:rPr>
      </w:pPr>
      <w:r w:rsidRPr="001A069D">
        <w:rPr>
          <w:color w:val="212121"/>
          <w:sz w:val="24"/>
        </w:rPr>
        <w:t xml:space="preserve">La Sezione lombarda ha quindi ribadito che, </w:t>
      </w:r>
      <w:r w:rsidRPr="001A069D">
        <w:rPr>
          <w:b/>
          <w:color w:val="212121"/>
          <w:sz w:val="24"/>
        </w:rPr>
        <w:t>in presenza di effettive e documentate</w:t>
      </w:r>
    </w:p>
    <w:p w14:paraId="251E42F8" w14:textId="77777777" w:rsidR="005D4DDD" w:rsidRPr="001A069D" w:rsidRDefault="00000000" w:rsidP="001A069D">
      <w:pPr>
        <w:pStyle w:val="Corpotesto"/>
        <w:spacing w:before="72" w:line="292" w:lineRule="auto"/>
        <w:ind w:right="134"/>
        <w:rPr>
          <w:lang w:val="it-IT"/>
        </w:rPr>
      </w:pPr>
      <w:r w:rsidRPr="001A069D">
        <w:rPr>
          <w:b/>
          <w:color w:val="212121"/>
          <w:lang w:val="it-IT"/>
        </w:rPr>
        <w:t>esigenze eccezionali</w:t>
      </w:r>
      <w:r w:rsidRPr="001A069D">
        <w:rPr>
          <w:color w:val="212121"/>
          <w:lang w:val="it-IT"/>
        </w:rPr>
        <w:t>, l’ente può procedere alla ricostituzione del fondo, purché nel rispetto della contrattazione collettiva e dei limiti finanziari vigenti, incluso l’art. 23, comma 2, del d.lgs. 75/2017.</w:t>
      </w:r>
    </w:p>
    <w:p w14:paraId="14FBE210" w14:textId="77777777" w:rsidR="005D4DDD" w:rsidRPr="001A069D" w:rsidRDefault="005D4DDD">
      <w:pPr>
        <w:pStyle w:val="Corpotesto"/>
        <w:spacing w:before="5"/>
        <w:rPr>
          <w:sz w:val="20"/>
          <w:lang w:val="it-IT"/>
        </w:rPr>
      </w:pPr>
    </w:p>
    <w:p w14:paraId="1E1C3B9C" w14:textId="77777777" w:rsidR="005D4DDD" w:rsidRPr="001A069D" w:rsidRDefault="00000000">
      <w:pPr>
        <w:spacing w:line="290" w:lineRule="auto"/>
        <w:ind w:left="114" w:right="576"/>
        <w:rPr>
          <w:sz w:val="24"/>
        </w:rPr>
      </w:pPr>
      <w:r w:rsidRPr="001A069D">
        <w:rPr>
          <w:color w:val="212121"/>
          <w:sz w:val="24"/>
        </w:rPr>
        <w:t xml:space="preserve">Nel frattempo, va segnalato che </w:t>
      </w:r>
      <w:r w:rsidRPr="001A069D">
        <w:rPr>
          <w:b/>
          <w:color w:val="212121"/>
          <w:sz w:val="24"/>
        </w:rPr>
        <w:t>l’ipotesi di CCNL del comparto Funzioni Locali sottoscritta il 3 novembre 2025 introduce per la prima volta la possibilità di aumentare il fondo destinato allo straordinario</w:t>
      </w:r>
      <w:r w:rsidRPr="001A069D">
        <w:rPr>
          <w:color w:val="212121"/>
          <w:sz w:val="24"/>
        </w:rPr>
        <w:t>, innovando un ambito che per oltre vent’anni era rimasto sostanzialmente immobile.</w:t>
      </w:r>
    </w:p>
    <w:p w14:paraId="3C278133" w14:textId="77777777" w:rsidR="005D4DDD" w:rsidRPr="001A069D" w:rsidRDefault="00000000">
      <w:pPr>
        <w:pStyle w:val="Corpotesto"/>
        <w:spacing w:before="14" w:line="292" w:lineRule="auto"/>
        <w:ind w:left="114" w:right="214"/>
        <w:rPr>
          <w:lang w:val="it-IT"/>
        </w:rPr>
      </w:pPr>
      <w:r w:rsidRPr="001A069D">
        <w:rPr>
          <w:color w:val="212121"/>
          <w:lang w:val="it-IT"/>
        </w:rPr>
        <w:t>Si tratta di un passaggio significativo, perché riconosce la necessità – ormai strutturale in molti enti – di modulare le risorse destinate al lavoro straordinario in funzione delle reali esigenze organizzative.</w:t>
      </w:r>
    </w:p>
    <w:p w14:paraId="52945DD7" w14:textId="77777777" w:rsidR="005D4DDD" w:rsidRPr="001A069D" w:rsidRDefault="005D4DDD">
      <w:pPr>
        <w:pStyle w:val="Corpotesto"/>
        <w:spacing w:before="5"/>
        <w:rPr>
          <w:sz w:val="20"/>
          <w:lang w:val="it-IT"/>
        </w:rPr>
      </w:pPr>
    </w:p>
    <w:p w14:paraId="20E0D28E" w14:textId="77777777" w:rsidR="005D4DDD" w:rsidRPr="001A069D" w:rsidRDefault="00000000">
      <w:pPr>
        <w:pStyle w:val="Corpotesto"/>
        <w:spacing w:line="290" w:lineRule="auto"/>
        <w:ind w:left="114" w:right="213"/>
        <w:rPr>
          <w:lang w:val="it-IT"/>
        </w:rPr>
      </w:pPr>
      <w:r w:rsidRPr="001A069D">
        <w:rPr>
          <w:color w:val="212121"/>
          <w:lang w:val="it-IT"/>
        </w:rPr>
        <w:t>In sintesi, tra giurisprudenza contabile e nuove aperture della contrattazione collettiva, gli enti locali dispongono oggi di un quadro più chiaro e flessibile per programmare correttamente il ricorso allo straordinario, evitando gli errori del passato e garantendo coerenza con i vincoli di finanza pubblica.</w:t>
      </w:r>
    </w:p>
    <w:p w14:paraId="6BFA5611" w14:textId="77777777" w:rsidR="005D4DDD" w:rsidRPr="001A069D" w:rsidRDefault="005D4DDD">
      <w:pPr>
        <w:pStyle w:val="Corpotesto"/>
        <w:spacing w:before="9"/>
        <w:rPr>
          <w:sz w:val="20"/>
          <w:lang w:val="it-IT"/>
        </w:rPr>
      </w:pPr>
    </w:p>
    <w:p w14:paraId="7DC4CB20" w14:textId="77777777" w:rsidR="005D4DDD" w:rsidRDefault="00000000">
      <w:pPr>
        <w:ind w:left="114"/>
        <w:rPr>
          <w:b/>
          <w:sz w:val="24"/>
        </w:rPr>
      </w:pPr>
      <w:r w:rsidRPr="001A069D">
        <w:rPr>
          <w:color w:val="212121"/>
          <w:sz w:val="24"/>
        </w:rPr>
        <w:t>Segnalo il corso sul</w:t>
      </w:r>
      <w:r w:rsidRPr="001A069D">
        <w:rPr>
          <w:color w:val="0000ED"/>
          <w:sz w:val="24"/>
          <w:u w:val="single" w:color="0000ED"/>
        </w:rPr>
        <w:t xml:space="preserve"> </w:t>
      </w:r>
      <w:hyperlink r:id="rId8">
        <w:r w:rsidR="005D4DDD" w:rsidRPr="001A069D">
          <w:rPr>
            <w:b/>
            <w:color w:val="0000ED"/>
            <w:sz w:val="24"/>
            <w:u w:val="single" w:color="0000ED"/>
          </w:rPr>
          <w:t>NUOVO CCNL</w:t>
        </w:r>
      </w:hyperlink>
    </w:p>
    <w:sectPr w:rsidR="005D4DDD">
      <w:footerReference w:type="default" r:id="rId9"/>
      <w:pgSz w:w="11920" w:h="16860"/>
      <w:pgMar w:top="780" w:right="1060" w:bottom="420" w:left="1080" w:header="0"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632D" w14:textId="77777777" w:rsidR="001062EB" w:rsidRPr="001A069D" w:rsidRDefault="001062EB">
      <w:r w:rsidRPr="001A069D">
        <w:separator/>
      </w:r>
    </w:p>
  </w:endnote>
  <w:endnote w:type="continuationSeparator" w:id="0">
    <w:p w14:paraId="60B8490C" w14:textId="77777777" w:rsidR="001062EB" w:rsidRPr="001A069D" w:rsidRDefault="001062EB">
      <w:r w:rsidRPr="001A06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B84" w14:textId="4BC1363E" w:rsidR="005D4DDD" w:rsidRPr="001A069D" w:rsidRDefault="00B61C08">
    <w:pPr>
      <w:pStyle w:val="Corpotesto"/>
      <w:spacing w:line="14" w:lineRule="auto"/>
      <w:rPr>
        <w:sz w:val="20"/>
        <w:lang w:val="it-IT"/>
      </w:rPr>
    </w:pPr>
    <w:r>
      <w:rPr>
        <w:noProof/>
        <w:lang w:val="it-IT"/>
      </w:rPr>
      <mc:AlternateContent>
        <mc:Choice Requires="wps">
          <w:drawing>
            <wp:anchor distT="0" distB="0" distL="114300" distR="114300" simplePos="0" relativeHeight="251657728" behindDoc="1" locked="0" layoutInCell="1" allowOverlap="1" wp14:anchorId="446D36AC" wp14:editId="1E876883">
              <wp:simplePos x="0" y="0"/>
              <wp:positionH relativeFrom="page">
                <wp:posOffset>7056120</wp:posOffset>
              </wp:positionH>
              <wp:positionV relativeFrom="page">
                <wp:posOffset>10412730</wp:posOffset>
              </wp:positionV>
              <wp:extent cx="204470" cy="111125"/>
              <wp:effectExtent l="0" t="0" r="0" b="0"/>
              <wp:wrapNone/>
              <wp:docPr id="44548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4106" w14:textId="77777777" w:rsidR="005D4DDD" w:rsidRPr="001A069D" w:rsidRDefault="00000000">
                          <w:pPr>
                            <w:spacing w:before="11"/>
                            <w:ind w:left="60"/>
                            <w:rPr>
                              <w:rFonts w:ascii="Tahoma"/>
                              <w:sz w:val="12"/>
                            </w:rPr>
                          </w:pPr>
                          <w:r w:rsidRPr="001A069D">
                            <w:fldChar w:fldCharType="begin"/>
                          </w:r>
                          <w:r w:rsidRPr="001A069D">
                            <w:rPr>
                              <w:rFonts w:ascii="Tahoma"/>
                              <w:sz w:val="12"/>
                            </w:rPr>
                            <w:instrText xml:space="preserve"> PAGE </w:instrText>
                          </w:r>
                          <w:r w:rsidRPr="001A069D">
                            <w:fldChar w:fldCharType="separate"/>
                          </w:r>
                          <w:r w:rsidRPr="001A069D">
                            <w:t>1</w:t>
                          </w:r>
                          <w:r w:rsidRPr="001A069D">
                            <w:fldChar w:fldCharType="end"/>
                          </w:r>
                          <w:r w:rsidRPr="001A069D">
                            <w:rPr>
                              <w:rFonts w:ascii="Tahoma"/>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D36AC" id="_x0000_t202" coordsize="21600,21600" o:spt="202" path="m,l,21600r21600,l21600,xe">
              <v:stroke joinstyle="miter"/>
              <v:path gradientshapeok="t" o:connecttype="rect"/>
            </v:shapetype>
            <v:shape id="Text Box 1" o:spid="_x0000_s1026" type="#_x0000_t202" style="position:absolute;margin-left:555.6pt;margin-top:819.9pt;width:16.1pt;height: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4/1AEAAJADAAAOAAAAZHJzL2Uyb0RvYy54bWysU9tu2zAMfR+wfxD0vtgJuguMOEXXosOA&#10;7gJ0+wBFlmxhtqiRSuzs60fJcbrL2zA/CBQlHZ5zSG+vp6EXR4PkwNdyvSqlMF5D43xby69f7l+8&#10;kYKi8o3qwZtangzJ693zZ9sxVGYDHfSNQcEgnqox1LKLMVRFQbozg6IVBOP50AIOKvIW26JBNTL6&#10;0BebsnxVjIBNQNCGiLN386HcZXxrjY6frCUTRV9L5hbzinndp7XYbVXVogqd02ca6h9YDMp5LnqB&#10;ulNRiQO6v6AGpxEIbFxpGAqw1mmTNbCadfmHmsdOBZO1sDkULjbR/4PVH4+P4TOKOL2FiRuYRVB4&#10;AP2NhIfbTvnW3CDC2BnVcOF1sqwYA1Xnp8lqqiiB7McP0HCT1SFCBposDskV1ikYnRtwuphupig0&#10;Jzfl1dVrPtF8tOZv8zJXUNXyOCDFdwYGkYJaIvc0g6vjA8VERlXLlVTLw73r+9zX3v+W4Ispk8kn&#10;vjPzOO0nvp1E7KE5sQyEeUx4rDnoAH9IMfKI1JK+HxQaKfr3nq1I87QEuAT7JVBe89NaRinm8DbO&#10;c3cI6NqOkWezPdywXdZlKU8szjy57VnheUTTXP26z7eefqTdTwAAAP//AwBQSwMEFAAGAAgAAAAh&#10;AJ9U81DgAAAADwEAAA8AAABkcnMvZG93bnJldi54bWxMT01Pg0AQvZv4HzZj4s0uLRUtsjSN0ZOJ&#10;keLB48JOgZSdRXbb4r93OOmc5s28vI9sO9lenHH0nSMFy0UEAql2pqNGwWf5evcIwgdNRveOUMEP&#10;etjm11eZTo27UIHnfWgEi5BPtYI2hCGV0tctWu0XbkDi38GNVgeGYyPNqC8sbnu5iqJEWt0RO7R6&#10;wOcW6+P+ZBXsvqh46b7fq4/iUHRluYnoLTkqdXsz7Z5ABJzCHxnm+Bwdcs5UuRMZL3rGPCvm8pbE&#10;G24xc5breA2imm/3DzHIPJP/e+S/AAAA//8DAFBLAQItABQABgAIAAAAIQC2gziS/gAAAOEBAAAT&#10;AAAAAAAAAAAAAAAAAAAAAABbQ29udGVudF9UeXBlc10ueG1sUEsBAi0AFAAGAAgAAAAhADj9If/W&#10;AAAAlAEAAAsAAAAAAAAAAAAAAAAALwEAAF9yZWxzLy5yZWxzUEsBAi0AFAAGAAgAAAAhAMb1zj/U&#10;AQAAkAMAAA4AAAAAAAAAAAAAAAAALgIAAGRycy9lMm9Eb2MueG1sUEsBAi0AFAAGAAgAAAAhAJ9U&#10;81DgAAAADwEAAA8AAAAAAAAAAAAAAAAALgQAAGRycy9kb3ducmV2LnhtbFBLBQYAAAAABAAEAPMA&#10;AAA7BQAAAAA=&#10;" filled="f" stroked="f">
              <v:textbox inset="0,0,0,0">
                <w:txbxContent>
                  <w:p w14:paraId="2CD74106" w14:textId="77777777" w:rsidR="005D4DDD" w:rsidRPr="001A069D" w:rsidRDefault="00000000">
                    <w:pPr>
                      <w:spacing w:before="11"/>
                      <w:ind w:left="60"/>
                      <w:rPr>
                        <w:rFonts w:ascii="Tahoma"/>
                        <w:sz w:val="12"/>
                      </w:rPr>
                    </w:pPr>
                    <w:r w:rsidRPr="001A069D">
                      <w:fldChar w:fldCharType="begin"/>
                    </w:r>
                    <w:r w:rsidRPr="001A069D">
                      <w:rPr>
                        <w:rFonts w:ascii="Tahoma"/>
                        <w:sz w:val="12"/>
                      </w:rPr>
                      <w:instrText xml:space="preserve"> PAGE </w:instrText>
                    </w:r>
                    <w:r w:rsidRPr="001A069D">
                      <w:fldChar w:fldCharType="separate"/>
                    </w:r>
                    <w:r w:rsidRPr="001A069D">
                      <w:t>1</w:t>
                    </w:r>
                    <w:r w:rsidRPr="001A069D">
                      <w:fldChar w:fldCharType="end"/>
                    </w:r>
                    <w:r w:rsidRPr="001A069D">
                      <w:rPr>
                        <w:rFonts w:ascii="Tahoma"/>
                        <w:sz w:val="12"/>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5FB5" w14:textId="77777777" w:rsidR="001062EB" w:rsidRPr="001A069D" w:rsidRDefault="001062EB">
      <w:r w:rsidRPr="001A069D">
        <w:separator/>
      </w:r>
    </w:p>
  </w:footnote>
  <w:footnote w:type="continuationSeparator" w:id="0">
    <w:p w14:paraId="3DE5BCA1" w14:textId="77777777" w:rsidR="001062EB" w:rsidRPr="001A069D" w:rsidRDefault="001062EB">
      <w:r w:rsidRPr="001A069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DD"/>
    <w:rsid w:val="001062EB"/>
    <w:rsid w:val="001A069D"/>
    <w:rsid w:val="005D4DDD"/>
    <w:rsid w:val="00A44BC9"/>
    <w:rsid w:val="00B5561E"/>
    <w:rsid w:val="00B61C08"/>
    <w:rsid w:val="00C66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FDEBF"/>
  <w15:docId w15:val="{201B2F32-36D3-4C10-87A6-F827D8EE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lang w:val="en-US"/>
    </w:rPr>
  </w:style>
  <w:style w:type="paragraph" w:styleId="Titolo">
    <w:name w:val="Title"/>
    <w:basedOn w:val="Normale"/>
    <w:uiPriority w:val="10"/>
    <w:qFormat/>
    <w:pPr>
      <w:spacing w:before="74"/>
      <w:ind w:left="114"/>
    </w:pPr>
    <w:rPr>
      <w:b/>
      <w:bCs/>
      <w:sz w:val="36"/>
      <w:szCs w:val="36"/>
      <w:lang w:val="en-US"/>
    </w:rPr>
  </w:style>
  <w:style w:type="paragraph" w:styleId="Paragrafoelenco">
    <w:name w:val="List Paragraph"/>
    <w:basedOn w:val="Normale"/>
    <w:uiPriority w:val="1"/>
    <w:qFormat/>
    <w:rPr>
      <w:lang w:val="en-US"/>
    </w:rPr>
  </w:style>
  <w:style w:type="paragraph" w:customStyle="1" w:styleId="TableParagraph">
    <w:name w:val="Table Paragraph"/>
    <w:basedOn w:val="Normale"/>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zione.publika.it/ulp_course/2025-cr69-prima-lettura-dellipotesi-del-ccnl-funzioni-locali/" TargetMode="External"/><Relationship Id="rId3" Type="http://schemas.openxmlformats.org/officeDocument/2006/relationships/webSettings" Target="webSettings.xml"/><Relationship Id="rId7" Type="http://schemas.openxmlformats.org/officeDocument/2006/relationships/hyperlink" Target="https://www.gianlucabertagna.it/2025/11/23/novita-sul-fondo-dello-straordinar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Novità sul fondo dello straordinario</dc:title>
  <dc:creator>Tullio</dc:creator>
  <cp:lastModifiedBy>Tullio</cp:lastModifiedBy>
  <cp:revision>2</cp:revision>
  <dcterms:created xsi:type="dcterms:W3CDTF">2025-11-24T08:47:00Z</dcterms:created>
  <dcterms:modified xsi:type="dcterms:W3CDTF">2025-11-24T08:47:00Z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2025-11-24T00:00:00Z</vt:filetime>
  </property>
</Properties>
</file>