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91F11" w14:textId="77777777" w:rsidR="00826A5F" w:rsidRPr="00826A5F" w:rsidRDefault="00826A5F" w:rsidP="00826A5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26A5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fldChar w:fldCharType="begin"/>
      </w:r>
      <w:r w:rsidRPr="00826A5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instrText>HYPERLINK "https://www.paweb.it/category/personale-enti-locali/"</w:instrText>
      </w:r>
      <w:r w:rsidRPr="00826A5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r>
      <w:r w:rsidRPr="00826A5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fldChar w:fldCharType="separate"/>
      </w:r>
      <w:r w:rsidRPr="00826A5F">
        <w:rPr>
          <w:rFonts w:ascii="Times New Roman" w:eastAsia="Times New Roman" w:hAnsi="Times New Roman" w:cs="Times New Roman"/>
          <w:caps/>
          <w:color w:val="3EA9F5"/>
          <w:kern w:val="0"/>
          <w:sz w:val="20"/>
          <w:szCs w:val="20"/>
          <w:u w:val="single"/>
          <w:lang w:eastAsia="it-IT"/>
          <w14:ligatures w14:val="none"/>
        </w:rPr>
        <w:t>PERSONALE ENTI LOCALI</w:t>
      </w:r>
      <w:r w:rsidRPr="00826A5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fldChar w:fldCharType="end"/>
      </w:r>
    </w:p>
    <w:p w14:paraId="3B499010" w14:textId="77777777" w:rsidR="00826A5F" w:rsidRPr="00826A5F" w:rsidRDefault="00826A5F" w:rsidP="00826A5F">
      <w:pPr>
        <w:spacing w:after="300" w:line="264" w:lineRule="atLeast"/>
        <w:jc w:val="center"/>
        <w:outlineLvl w:val="0"/>
        <w:rPr>
          <w:rFonts w:ascii="Rubik" w:eastAsia="Times New Roman" w:hAnsi="Rubik" w:cs="Times New Roman"/>
          <w:color w:val="0E2B5C"/>
          <w:spacing w:val="-15"/>
          <w:kern w:val="36"/>
          <w:sz w:val="48"/>
          <w:szCs w:val="48"/>
          <w:lang w:eastAsia="it-IT"/>
          <w14:ligatures w14:val="none"/>
        </w:rPr>
      </w:pPr>
      <w:r w:rsidRPr="00826A5F">
        <w:rPr>
          <w:rFonts w:ascii="Rubik" w:eastAsia="Times New Roman" w:hAnsi="Rubik" w:cs="Times New Roman"/>
          <w:color w:val="0E2B5C"/>
          <w:spacing w:val="-15"/>
          <w:kern w:val="36"/>
          <w:sz w:val="48"/>
          <w:szCs w:val="48"/>
          <w:lang w:eastAsia="it-IT"/>
          <w14:ligatures w14:val="none"/>
        </w:rPr>
        <w:t>Dipendenti p.a. a domanda dove risiede la famiglia</w:t>
      </w:r>
    </w:p>
    <w:p w14:paraId="10289B32" w14:textId="77777777" w:rsidR="00826A5F" w:rsidRPr="00826A5F" w:rsidRDefault="00826A5F" w:rsidP="00826A5F">
      <w:pPr>
        <w:spacing w:line="240" w:lineRule="auto"/>
        <w:jc w:val="center"/>
        <w:rPr>
          <w:rFonts w:ascii="Times New Roman" w:eastAsia="Times New Roman" w:hAnsi="Times New Roman" w:cs="Times New Roman"/>
          <w:caps/>
          <w:kern w:val="0"/>
          <w:sz w:val="20"/>
          <w:szCs w:val="20"/>
          <w:lang w:eastAsia="it-IT"/>
          <w14:ligatures w14:val="none"/>
        </w:rPr>
      </w:pPr>
      <w:r w:rsidRPr="00826A5F">
        <w:rPr>
          <w:rFonts w:ascii="Times New Roman" w:eastAsia="Times New Roman" w:hAnsi="Times New Roman" w:cs="Times New Roman"/>
          <w:caps/>
          <w:kern w:val="0"/>
          <w:sz w:val="20"/>
          <w:szCs w:val="20"/>
          <w:lang w:eastAsia="it-IT"/>
          <w14:ligatures w14:val="none"/>
        </w:rPr>
        <w:t>BY </w:t>
      </w:r>
      <w:hyperlink r:id="rId5" w:tooltip="Articoli scritti da Redazione Paweb" w:history="1">
        <w:r w:rsidRPr="00826A5F">
          <w:rPr>
            <w:rFonts w:ascii="Times New Roman" w:eastAsia="Times New Roman" w:hAnsi="Times New Roman" w:cs="Times New Roman"/>
            <w:caps/>
            <w:color w:val="0E2B5C"/>
            <w:kern w:val="0"/>
            <w:sz w:val="20"/>
            <w:szCs w:val="20"/>
            <w:u w:val="single"/>
            <w:lang w:eastAsia="it-IT"/>
            <w14:ligatures w14:val="none"/>
          </w:rPr>
          <w:t>REDAZIONE PAWEB</w:t>
        </w:r>
      </w:hyperlink>
      <w:r w:rsidRPr="00826A5F">
        <w:rPr>
          <w:rFonts w:ascii="Times New Roman" w:eastAsia="Times New Roman" w:hAnsi="Times New Roman" w:cs="Times New Roman"/>
          <w:caps/>
          <w:kern w:val="0"/>
          <w:sz w:val="20"/>
          <w:szCs w:val="20"/>
          <w:lang w:eastAsia="it-IT"/>
          <w14:ligatures w14:val="none"/>
        </w:rPr>
        <w:t> 5 GIUGNO 2024</w:t>
      </w:r>
    </w:p>
    <w:p w14:paraId="00D6776E" w14:textId="77777777" w:rsidR="00826A5F" w:rsidRPr="00826A5F" w:rsidRDefault="00826A5F" w:rsidP="00826A5F">
      <w:pPr>
        <w:spacing w:after="4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26A5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 dipendenti p.a. possono chiedere l’assegnazione provvisoria anche nella regione o nella provincia dove risiede la famiglia.</w:t>
      </w:r>
    </w:p>
    <w:p w14:paraId="3EB05528" w14:textId="77777777" w:rsidR="00826A5F" w:rsidRPr="00826A5F" w:rsidRDefault="00826A5F" w:rsidP="00826A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26A5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Lo ha stabilito la </w:t>
      </w:r>
      <w:hyperlink r:id="rId6" w:history="1">
        <w:r w:rsidRPr="00826A5F">
          <w:rPr>
            <w:rFonts w:ascii="Times New Roman" w:eastAsia="Times New Roman" w:hAnsi="Times New Roman" w:cs="Times New Roman"/>
            <w:color w:val="3EA9F5"/>
            <w:kern w:val="0"/>
            <w:sz w:val="24"/>
            <w:szCs w:val="24"/>
            <w:u w:val="single"/>
            <w:lang w:eastAsia="it-IT"/>
            <w14:ligatures w14:val="none"/>
          </w:rPr>
          <w:t>Corte Costituzionale</w:t>
        </w:r>
      </w:hyperlink>
      <w:r w:rsidRPr="00826A5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 con la sentenza del 4 giugno 2024, n. 99.</w:t>
      </w:r>
    </w:p>
    <w:p w14:paraId="0DBFC118" w14:textId="77777777" w:rsidR="00826A5F" w:rsidRPr="00826A5F" w:rsidRDefault="00826A5F" w:rsidP="00826A5F">
      <w:pPr>
        <w:spacing w:after="4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26A5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Con questa decisione, la Corte ha sancito l’illegittimità costituzionale dell’art. 42 bis, co. 1, del </w:t>
      </w:r>
      <w:proofErr w:type="spellStart"/>
      <w:r w:rsidRPr="00826A5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D.Lgs.</w:t>
      </w:r>
      <w:proofErr w:type="spellEnd"/>
      <w:r w:rsidRPr="00826A5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n. 151/2001 (il Testo Unico delle disposizioni legislative in materia di tutela e sostegno della maternità e della paternità), per contrasto con l’art. 3 della Costituzione. Infatti, tale ultimo articolo non prevede che i dipendenti pubblici, con figli fino a tre anni, possano chiedere il trasferimento temporaneo laddove hanno fissato la residenza familiare.</w:t>
      </w:r>
    </w:p>
    <w:p w14:paraId="105F6155" w14:textId="77777777" w:rsidR="00826A5F" w:rsidRPr="00826A5F" w:rsidRDefault="00826A5F" w:rsidP="00826A5F">
      <w:pPr>
        <w:spacing w:after="4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26A5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La norma censurata stabilisce che il genitore con figli fino a tre anni, dipendente di p.a., può essere assegnato a una sede di servizio sita nella stessa provincia o regione in cui l’altro genitore esercita la propria attività lavorativa. Tale assegnazione può avvenire:</w:t>
      </w:r>
    </w:p>
    <w:p w14:paraId="3625A26B" w14:textId="77777777" w:rsidR="00826A5F" w:rsidRPr="00826A5F" w:rsidRDefault="00826A5F" w:rsidP="00826A5F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26A5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 richiesta,</w:t>
      </w:r>
    </w:p>
    <w:p w14:paraId="5CD4A09C" w14:textId="77777777" w:rsidR="00826A5F" w:rsidRPr="00826A5F" w:rsidRDefault="00826A5F" w:rsidP="00826A5F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26A5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anche in modo frazionato,</w:t>
      </w:r>
    </w:p>
    <w:p w14:paraId="64227449" w14:textId="77777777" w:rsidR="00826A5F" w:rsidRDefault="00826A5F" w:rsidP="00826A5F">
      <w:pPr>
        <w:numPr>
          <w:ilvl w:val="0"/>
          <w:numId w:val="1"/>
        </w:numPr>
        <w:spacing w:before="100" w:beforeAutospacing="1" w:after="0" w:line="240" w:lineRule="auto"/>
        <w:ind w:left="495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26A5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ma complessivamente per un periodo fino a tre anni.</w:t>
      </w:r>
    </w:p>
    <w:p w14:paraId="724A586C" w14:textId="77777777" w:rsidR="00405048" w:rsidRPr="00826A5F" w:rsidRDefault="00405048" w:rsidP="00405048">
      <w:pPr>
        <w:spacing w:before="100" w:beforeAutospacing="1" w:after="0" w:line="240" w:lineRule="auto"/>
        <w:ind w:left="495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8D3F8C7" w14:textId="77777777" w:rsidR="00826A5F" w:rsidRPr="00826A5F" w:rsidRDefault="00826A5F" w:rsidP="00826A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26A5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Tutto ciò a condizione della sussistenza di un posto vacante e disponibile di pari posizione retributiva e previo assenso di entrambe le p.a. interessate (quella di provenienza e quella di destinazione).</w:t>
      </w:r>
    </w:p>
    <w:p w14:paraId="16FB9F1F" w14:textId="77777777" w:rsidR="00826A5F" w:rsidRPr="00826A5F" w:rsidRDefault="00826A5F" w:rsidP="00826A5F">
      <w:pPr>
        <w:spacing w:before="600" w:after="0" w:line="288" w:lineRule="atLeast"/>
        <w:jc w:val="center"/>
        <w:outlineLvl w:val="2"/>
        <w:rPr>
          <w:rFonts w:ascii="Rubik" w:eastAsia="Times New Roman" w:hAnsi="Rubik" w:cs="Times New Roman"/>
          <w:color w:val="0E2B5C"/>
          <w:kern w:val="0"/>
          <w:sz w:val="27"/>
          <w:szCs w:val="27"/>
          <w:lang w:eastAsia="it-IT"/>
          <w14:ligatures w14:val="none"/>
        </w:rPr>
      </w:pPr>
      <w:r w:rsidRPr="00826A5F">
        <w:rPr>
          <w:rFonts w:ascii="Rubik" w:eastAsia="Times New Roman" w:hAnsi="Rubik" w:cs="Times New Roman"/>
          <w:color w:val="0E2B5C"/>
          <w:kern w:val="0"/>
          <w:sz w:val="27"/>
          <w:szCs w:val="27"/>
          <w:lang w:eastAsia="it-IT"/>
          <w14:ligatures w14:val="none"/>
        </w:rPr>
        <w:t>Cosa afferma la Corte costituzionale con riferimento ai trasferimenti dei dipendenti p.a.?</w:t>
      </w:r>
    </w:p>
    <w:p w14:paraId="4E141DE9" w14:textId="77777777" w:rsidR="00826A5F" w:rsidRPr="00826A5F" w:rsidRDefault="00826A5F" w:rsidP="00826A5F">
      <w:pPr>
        <w:shd w:val="clear" w:color="auto" w:fill="FFFFFF"/>
        <w:spacing w:after="450" w:line="240" w:lineRule="auto"/>
        <w:jc w:val="both"/>
        <w:rPr>
          <w:rFonts w:ascii="Rubik" w:eastAsia="Times New Roman" w:hAnsi="Rubik" w:cs="Times New Roman"/>
          <w:color w:val="627792"/>
          <w:kern w:val="0"/>
          <w:sz w:val="27"/>
          <w:szCs w:val="27"/>
          <w:lang w:eastAsia="it-IT"/>
          <w14:ligatures w14:val="none"/>
        </w:rPr>
      </w:pPr>
      <w:r w:rsidRPr="00826A5F">
        <w:rPr>
          <w:rFonts w:ascii="Rubik" w:eastAsia="Times New Roman" w:hAnsi="Rubik" w:cs="Times New Roman"/>
          <w:color w:val="627792"/>
          <w:kern w:val="0"/>
          <w:sz w:val="27"/>
          <w:szCs w:val="27"/>
          <w:lang w:eastAsia="it-IT"/>
          <w14:ligatures w14:val="none"/>
        </w:rPr>
        <w:t>Per i dipendenti p.a. la Corte stabilisce che la possibilità di ottenere il trasferimento solo “a una sede di servizio ubicata nella stessa provincia o regione nella quale l’altro genitore esercita l’attività lavorativa” è un requisito che ne condiziona il concreto ambito di applicazione, anche sul piano soggettivo.</w:t>
      </w:r>
    </w:p>
    <w:p w14:paraId="74CC4F94" w14:textId="77777777" w:rsidR="00826A5F" w:rsidRPr="00826A5F" w:rsidRDefault="00826A5F" w:rsidP="00826A5F">
      <w:pPr>
        <w:shd w:val="clear" w:color="auto" w:fill="FFFFFF"/>
        <w:spacing w:after="450" w:line="240" w:lineRule="auto"/>
        <w:jc w:val="both"/>
        <w:rPr>
          <w:rFonts w:ascii="Rubik" w:eastAsia="Times New Roman" w:hAnsi="Rubik" w:cs="Times New Roman"/>
          <w:color w:val="627792"/>
          <w:kern w:val="0"/>
          <w:sz w:val="27"/>
          <w:szCs w:val="27"/>
          <w:lang w:eastAsia="it-IT"/>
          <w14:ligatures w14:val="none"/>
        </w:rPr>
      </w:pPr>
      <w:r w:rsidRPr="00826A5F">
        <w:rPr>
          <w:rFonts w:ascii="Rubik" w:eastAsia="Times New Roman" w:hAnsi="Rubik" w:cs="Times New Roman"/>
          <w:color w:val="627792"/>
          <w:kern w:val="0"/>
          <w:sz w:val="27"/>
          <w:szCs w:val="27"/>
          <w:lang w:eastAsia="it-IT"/>
          <w14:ligatures w14:val="none"/>
        </w:rPr>
        <w:t>Infatti, sono esclusi dalla possibilità di accedere al beneficio del trasferimento i dipendenti pubblici che hanno fissato la residenza familiare, dove vive il figlio minore, in una regione o provincia comunque diversa da quelle in cui lavorano entrambi i genitori.</w:t>
      </w:r>
    </w:p>
    <w:p w14:paraId="5D15DC19" w14:textId="77777777" w:rsidR="00826A5F" w:rsidRPr="00826A5F" w:rsidRDefault="00826A5F" w:rsidP="00826A5F">
      <w:pPr>
        <w:shd w:val="clear" w:color="auto" w:fill="FFFFFF"/>
        <w:spacing w:after="0" w:line="240" w:lineRule="auto"/>
        <w:jc w:val="both"/>
        <w:rPr>
          <w:rFonts w:ascii="Rubik" w:eastAsia="Times New Roman" w:hAnsi="Rubik" w:cs="Times New Roman"/>
          <w:color w:val="627792"/>
          <w:kern w:val="0"/>
          <w:sz w:val="27"/>
          <w:szCs w:val="27"/>
          <w:lang w:eastAsia="it-IT"/>
          <w14:ligatures w14:val="none"/>
        </w:rPr>
      </w:pPr>
      <w:r w:rsidRPr="00826A5F">
        <w:rPr>
          <w:rFonts w:ascii="Rubik" w:eastAsia="Times New Roman" w:hAnsi="Rubik" w:cs="Times New Roman"/>
          <w:color w:val="627792"/>
          <w:kern w:val="0"/>
          <w:sz w:val="27"/>
          <w:szCs w:val="27"/>
          <w:lang w:eastAsia="it-IT"/>
          <w14:ligatures w14:val="none"/>
        </w:rPr>
        <w:t>La Corte, quindi, dichiara l’illegittimità dell’art. 42 bis, co. 1, nella parte in cui prevede che il trasferimento del dipendente pubblico, con figli fino a tre anni, possa avvenire in una sede di servizio della stessa provincia o regione nella quale l’altro genitore esercita la propria attività lavorativa, anziché “a una sede di servizio ubicata nella stessa provincia o regione nella quale è fissata la residenza della famiglia o nella quale l’altro genitore eserciti la propria attività lavorativa”.</w:t>
      </w:r>
    </w:p>
    <w:p w14:paraId="2AA98453" w14:textId="77777777" w:rsidR="00826A5F" w:rsidRPr="00826A5F" w:rsidRDefault="00826A5F" w:rsidP="00826A5F">
      <w:pPr>
        <w:shd w:val="clear" w:color="auto" w:fill="FFFFFF"/>
        <w:spacing w:after="0" w:line="240" w:lineRule="auto"/>
        <w:jc w:val="center"/>
        <w:rPr>
          <w:rFonts w:ascii="Rubik" w:eastAsia="Times New Roman" w:hAnsi="Rubik" w:cs="Times New Roman"/>
          <w:color w:val="627792"/>
          <w:kern w:val="0"/>
          <w:sz w:val="27"/>
          <w:szCs w:val="27"/>
          <w:lang w:eastAsia="it-IT"/>
          <w14:ligatures w14:val="none"/>
        </w:rPr>
      </w:pPr>
      <w:r w:rsidRPr="00826A5F">
        <w:rPr>
          <w:rFonts w:ascii="Rubik" w:eastAsia="Times New Roman" w:hAnsi="Rubik" w:cs="Times New Roman"/>
          <w:color w:val="627792"/>
          <w:kern w:val="0"/>
          <w:sz w:val="27"/>
          <w:szCs w:val="27"/>
          <w:lang w:eastAsia="it-IT"/>
          <w14:ligatures w14:val="none"/>
        </w:rPr>
        <w:t>Per saperne di più su questo e altri argomenti consulta gli articoli che trovi </w:t>
      </w:r>
      <w:hyperlink r:id="rId7" w:tgtFrame="_blank" w:history="1">
        <w:r w:rsidRPr="00826A5F">
          <w:rPr>
            <w:rFonts w:ascii="Rubik" w:eastAsia="Times New Roman" w:hAnsi="Rubik" w:cs="Times New Roman"/>
            <w:color w:val="3EA9F5"/>
            <w:kern w:val="0"/>
            <w:sz w:val="24"/>
            <w:szCs w:val="24"/>
            <w:u w:val="single"/>
            <w:lang w:eastAsia="it-IT"/>
            <w14:ligatures w14:val="none"/>
          </w:rPr>
          <w:t>qui</w:t>
        </w:r>
      </w:hyperlink>
    </w:p>
    <w:p w14:paraId="26EE8D34" w14:textId="77777777" w:rsidR="00826A5F" w:rsidRDefault="00826A5F"/>
    <w:sectPr w:rsidR="00826A5F" w:rsidSect="00826A5F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ubik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6E173A"/>
    <w:multiLevelType w:val="multilevel"/>
    <w:tmpl w:val="8E2A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9853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5F"/>
    <w:rsid w:val="00405048"/>
    <w:rsid w:val="00826A5F"/>
    <w:rsid w:val="00C3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51B4D"/>
  <w15:chartTrackingRefBased/>
  <w15:docId w15:val="{46070199-59ED-4B6D-B424-4FF1A9CEE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27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6418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2572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0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8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805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8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35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388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585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746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055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57812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31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71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92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82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aweb.it/news-enti-locali-e-amministrazione-pubblic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rtecostituzionale.it/default.do" TargetMode="External"/><Relationship Id="rId5" Type="http://schemas.openxmlformats.org/officeDocument/2006/relationships/hyperlink" Target="https://www.paweb.it/author/redazione-paweb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Tullio</dc:creator>
  <cp:keywords/>
  <dc:description/>
  <cp:lastModifiedBy>Tullio</cp:lastModifiedBy>
  <cp:revision>3</cp:revision>
  <cp:lastPrinted>2024-06-05T16:36:00Z</cp:lastPrinted>
  <dcterms:created xsi:type="dcterms:W3CDTF">2024-06-05T16:33:00Z</dcterms:created>
  <dcterms:modified xsi:type="dcterms:W3CDTF">2024-06-05T16:37:00Z</dcterms:modified>
</cp:coreProperties>
</file>